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A" w:rsidRDefault="00192238" w:rsidP="00192238">
      <w:pPr>
        <w:jc w:val="center"/>
      </w:pPr>
      <w:r>
        <w:rPr>
          <w:noProof/>
        </w:rPr>
        <w:drawing>
          <wp:inline distT="0" distB="0" distL="0" distR="0">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192238" w:rsidRDefault="00192238" w:rsidP="0045120A">
      <w:pPr>
        <w:jc w:val="center"/>
      </w:pPr>
      <w:r>
        <w:rPr>
          <w:noProof/>
        </w:rPr>
        <w:drawing>
          <wp:inline distT="0" distB="0" distL="0" distR="0">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023ADD" w:rsidRDefault="00023ADD" w:rsidP="00023ADD">
      <w:pPr>
        <w:spacing w:after="0" w:line="240" w:lineRule="auto"/>
        <w:jc w:val="center"/>
        <w:rPr>
          <w:b/>
          <w:sz w:val="36"/>
          <w:szCs w:val="36"/>
        </w:rPr>
      </w:pPr>
      <w:r w:rsidRPr="00023ADD">
        <w:rPr>
          <w:b/>
          <w:sz w:val="36"/>
          <w:szCs w:val="36"/>
        </w:rPr>
        <w:t xml:space="preserve">Guidance </w:t>
      </w:r>
    </w:p>
    <w:p w:rsidR="00023ADD" w:rsidRDefault="00023ADD" w:rsidP="00023ADD">
      <w:pPr>
        <w:spacing w:after="0" w:line="240" w:lineRule="auto"/>
        <w:jc w:val="center"/>
        <w:rPr>
          <w:b/>
          <w:sz w:val="36"/>
          <w:szCs w:val="36"/>
        </w:rPr>
      </w:pPr>
      <w:r w:rsidRPr="00023ADD">
        <w:rPr>
          <w:b/>
          <w:sz w:val="36"/>
          <w:szCs w:val="36"/>
        </w:rPr>
        <w:t xml:space="preserve">for </w:t>
      </w:r>
    </w:p>
    <w:p w:rsidR="00192238" w:rsidRDefault="001C7E92" w:rsidP="00023ADD">
      <w:pPr>
        <w:spacing w:after="0" w:line="240" w:lineRule="auto"/>
        <w:jc w:val="center"/>
        <w:rPr>
          <w:b/>
          <w:sz w:val="36"/>
          <w:szCs w:val="36"/>
        </w:rPr>
      </w:pPr>
      <w:r>
        <w:rPr>
          <w:b/>
          <w:sz w:val="36"/>
          <w:szCs w:val="36"/>
        </w:rPr>
        <w:t>Required Minimum Distribution (“RMD”)</w:t>
      </w:r>
    </w:p>
    <w:p w:rsidR="00023ADD" w:rsidRDefault="00023ADD" w:rsidP="00023ADD">
      <w:pPr>
        <w:spacing w:after="0" w:line="240" w:lineRule="auto"/>
        <w:jc w:val="center"/>
        <w:rPr>
          <w:b/>
          <w:sz w:val="36"/>
          <w:szCs w:val="36"/>
        </w:rPr>
      </w:pPr>
    </w:p>
    <w:p w:rsidR="00DD7B9A" w:rsidRDefault="001C7E92" w:rsidP="00023ADD">
      <w:pPr>
        <w:spacing w:after="0" w:line="240" w:lineRule="auto"/>
        <w:rPr>
          <w:sz w:val="24"/>
          <w:szCs w:val="24"/>
        </w:rPr>
      </w:pPr>
      <w:bookmarkStart w:id="0" w:name="_GoBack"/>
      <w:r>
        <w:rPr>
          <w:sz w:val="24"/>
          <w:szCs w:val="24"/>
        </w:rPr>
        <w:t xml:space="preserve">Required </w:t>
      </w:r>
      <w:r w:rsidR="00C21065">
        <w:rPr>
          <w:sz w:val="24"/>
          <w:szCs w:val="24"/>
        </w:rPr>
        <w:t>Minimum</w:t>
      </w:r>
      <w:r>
        <w:rPr>
          <w:sz w:val="24"/>
          <w:szCs w:val="24"/>
        </w:rPr>
        <w:t xml:space="preserve"> Distribution (RMD) for SDIRA follows the same guidance of the Traditional </w:t>
      </w:r>
      <w:bookmarkEnd w:id="0"/>
      <w:r>
        <w:rPr>
          <w:sz w:val="24"/>
          <w:szCs w:val="24"/>
        </w:rPr>
        <w:t>IRA.  The calculation of distributions is based on the</w:t>
      </w:r>
      <w:r w:rsidR="00C21065">
        <w:rPr>
          <w:sz w:val="24"/>
          <w:szCs w:val="24"/>
        </w:rPr>
        <w:t xml:space="preserve"> fair market value (</w:t>
      </w:r>
      <w:r>
        <w:rPr>
          <w:sz w:val="24"/>
          <w:szCs w:val="24"/>
        </w:rPr>
        <w:t>FMV</w:t>
      </w:r>
      <w:r w:rsidR="00C21065">
        <w:rPr>
          <w:sz w:val="24"/>
          <w:szCs w:val="24"/>
        </w:rPr>
        <w:t>)</w:t>
      </w:r>
      <w:r>
        <w:rPr>
          <w:sz w:val="24"/>
          <w:szCs w:val="24"/>
        </w:rPr>
        <w:t xml:space="preserve"> of the stock per sh</w:t>
      </w:r>
      <w:r w:rsidR="00C21065">
        <w:rPr>
          <w:sz w:val="24"/>
          <w:szCs w:val="24"/>
        </w:rPr>
        <w:t>are on the date of distribution</w:t>
      </w:r>
      <w:r>
        <w:rPr>
          <w:sz w:val="24"/>
          <w:szCs w:val="24"/>
        </w:rPr>
        <w:t>.  Based on that determination the actual distribution in shares is calculated to meet the RMD requirement.</w:t>
      </w:r>
      <w:r w:rsidR="0045120A">
        <w:rPr>
          <w:sz w:val="24"/>
          <w:szCs w:val="24"/>
        </w:rPr>
        <w:t xml:space="preserve"> </w:t>
      </w:r>
    </w:p>
    <w:p w:rsidR="00C21065" w:rsidRDefault="00C21065" w:rsidP="00023ADD">
      <w:pPr>
        <w:spacing w:after="0" w:line="240" w:lineRule="auto"/>
        <w:rPr>
          <w:sz w:val="24"/>
          <w:szCs w:val="24"/>
        </w:rPr>
      </w:pPr>
    </w:p>
    <w:p w:rsidR="00C21065" w:rsidRDefault="00C21065" w:rsidP="00023ADD">
      <w:pPr>
        <w:spacing w:after="0" w:line="240" w:lineRule="auto"/>
        <w:rPr>
          <w:sz w:val="24"/>
          <w:szCs w:val="24"/>
        </w:rPr>
      </w:pPr>
      <w:r>
        <w:rPr>
          <w:sz w:val="24"/>
          <w:szCs w:val="24"/>
        </w:rPr>
        <w:t>RMD distributions is made in share and cash (if cash account has funds) to meet distribution requirement.  Account holder, if seeking cash for the share component must present shares to bank transfer agent to be sold.</w:t>
      </w:r>
    </w:p>
    <w:p w:rsidR="00000B39" w:rsidRDefault="00000B39" w:rsidP="00023ADD">
      <w:pPr>
        <w:spacing w:after="0" w:line="240" w:lineRule="auto"/>
        <w:rPr>
          <w:sz w:val="24"/>
          <w:szCs w:val="24"/>
        </w:rPr>
      </w:pPr>
    </w:p>
    <w:p w:rsidR="00000B39" w:rsidRDefault="00000B39" w:rsidP="00023ADD">
      <w:pPr>
        <w:spacing w:after="0" w:line="240" w:lineRule="auto"/>
        <w:rPr>
          <w:sz w:val="24"/>
          <w:szCs w:val="24"/>
        </w:rPr>
      </w:pPr>
      <w:r>
        <w:rPr>
          <w:sz w:val="24"/>
          <w:szCs w:val="24"/>
        </w:rPr>
        <w:t>IRS Reporting to be provided through Shareholder Accounting System (some manual calculations may be necessary.</w:t>
      </w:r>
    </w:p>
    <w:p w:rsidR="00C21065" w:rsidRDefault="00C21065" w:rsidP="00023ADD">
      <w:pPr>
        <w:spacing w:after="0" w:line="240" w:lineRule="auto"/>
        <w:rPr>
          <w:sz w:val="24"/>
          <w:szCs w:val="24"/>
        </w:rPr>
      </w:pPr>
    </w:p>
    <w:p w:rsidR="00C21065" w:rsidRPr="00C21065" w:rsidRDefault="00C21065" w:rsidP="00023ADD">
      <w:pPr>
        <w:spacing w:after="0" w:line="240" w:lineRule="auto"/>
        <w:rPr>
          <w:i/>
          <w:sz w:val="24"/>
          <w:szCs w:val="24"/>
        </w:rPr>
      </w:pPr>
      <w:r w:rsidRPr="00C21065">
        <w:rPr>
          <w:i/>
          <w:sz w:val="24"/>
          <w:szCs w:val="24"/>
        </w:rPr>
        <w:t>Early withdrawal or selected withdrawal would follow the same procedure.</w:t>
      </w:r>
    </w:p>
    <w:p w:rsidR="00C21065" w:rsidRDefault="00C21065" w:rsidP="00023ADD">
      <w:pPr>
        <w:spacing w:after="0" w:line="240" w:lineRule="auto"/>
        <w:rPr>
          <w:sz w:val="24"/>
          <w:szCs w:val="24"/>
        </w:rPr>
      </w:pPr>
    </w:p>
    <w:p w:rsidR="00C21065" w:rsidRPr="00023ADD" w:rsidRDefault="00C21065" w:rsidP="00023ADD">
      <w:pPr>
        <w:spacing w:after="0" w:line="240" w:lineRule="auto"/>
        <w:rPr>
          <w:sz w:val="24"/>
          <w:szCs w:val="24"/>
        </w:rPr>
      </w:pPr>
      <w:r>
        <w:rPr>
          <w:sz w:val="24"/>
          <w:szCs w:val="24"/>
        </w:rPr>
        <w:t>(Important: Account holder instructs bank to purchase shares (securities) … bank is not responsible for selling of securities providing cash to account holder.  Account holder presents shares to bank transfer agent for selling.</w:t>
      </w:r>
      <w:r w:rsidR="00000B39">
        <w:rPr>
          <w:sz w:val="24"/>
          <w:szCs w:val="24"/>
        </w:rPr>
        <w:t>)</w:t>
      </w:r>
      <w:r>
        <w:rPr>
          <w:sz w:val="24"/>
          <w:szCs w:val="24"/>
        </w:rPr>
        <w:t xml:space="preserve"> </w:t>
      </w:r>
    </w:p>
    <w:sectPr w:rsidR="00C21065" w:rsidRPr="00023ADD" w:rsidSect="001922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8"/>
    <w:rsid w:val="00000B39"/>
    <w:rsid w:val="000061EF"/>
    <w:rsid w:val="00007397"/>
    <w:rsid w:val="0001102D"/>
    <w:rsid w:val="00011500"/>
    <w:rsid w:val="00022FE9"/>
    <w:rsid w:val="00023ADD"/>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7AA1"/>
    <w:rsid w:val="000C7096"/>
    <w:rsid w:val="000D010F"/>
    <w:rsid w:val="000D0831"/>
    <w:rsid w:val="000D2B25"/>
    <w:rsid w:val="000E78E3"/>
    <w:rsid w:val="00112070"/>
    <w:rsid w:val="00124D49"/>
    <w:rsid w:val="00125300"/>
    <w:rsid w:val="00125C43"/>
    <w:rsid w:val="00144DEF"/>
    <w:rsid w:val="0014654B"/>
    <w:rsid w:val="00147B22"/>
    <w:rsid w:val="00181947"/>
    <w:rsid w:val="00182D5E"/>
    <w:rsid w:val="00191CA9"/>
    <w:rsid w:val="00192238"/>
    <w:rsid w:val="0019538A"/>
    <w:rsid w:val="001964C6"/>
    <w:rsid w:val="00196511"/>
    <w:rsid w:val="001A6209"/>
    <w:rsid w:val="001B3D00"/>
    <w:rsid w:val="001C7E92"/>
    <w:rsid w:val="001D0518"/>
    <w:rsid w:val="001E1C51"/>
    <w:rsid w:val="001E240B"/>
    <w:rsid w:val="0020152F"/>
    <w:rsid w:val="00202146"/>
    <w:rsid w:val="002026B9"/>
    <w:rsid w:val="0020787D"/>
    <w:rsid w:val="00210BF3"/>
    <w:rsid w:val="002237A5"/>
    <w:rsid w:val="00224AE2"/>
    <w:rsid w:val="00232F90"/>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120A"/>
    <w:rsid w:val="0045316F"/>
    <w:rsid w:val="004562EC"/>
    <w:rsid w:val="004638AE"/>
    <w:rsid w:val="0046509F"/>
    <w:rsid w:val="004A1EAF"/>
    <w:rsid w:val="004A6A06"/>
    <w:rsid w:val="004D127B"/>
    <w:rsid w:val="004D2906"/>
    <w:rsid w:val="004D3E0F"/>
    <w:rsid w:val="00510667"/>
    <w:rsid w:val="00515577"/>
    <w:rsid w:val="005174FA"/>
    <w:rsid w:val="00517D9D"/>
    <w:rsid w:val="00555BD8"/>
    <w:rsid w:val="0056750E"/>
    <w:rsid w:val="00570346"/>
    <w:rsid w:val="00571F70"/>
    <w:rsid w:val="00575B7E"/>
    <w:rsid w:val="00581581"/>
    <w:rsid w:val="00583982"/>
    <w:rsid w:val="005857C5"/>
    <w:rsid w:val="005953D9"/>
    <w:rsid w:val="0059540D"/>
    <w:rsid w:val="005A5423"/>
    <w:rsid w:val="005A604D"/>
    <w:rsid w:val="005C0936"/>
    <w:rsid w:val="005D7A82"/>
    <w:rsid w:val="005D7B7F"/>
    <w:rsid w:val="005E238B"/>
    <w:rsid w:val="005E5562"/>
    <w:rsid w:val="00615C11"/>
    <w:rsid w:val="00625702"/>
    <w:rsid w:val="00632C1B"/>
    <w:rsid w:val="006414C5"/>
    <w:rsid w:val="0064657C"/>
    <w:rsid w:val="00657863"/>
    <w:rsid w:val="00667E69"/>
    <w:rsid w:val="00676FFA"/>
    <w:rsid w:val="00681D76"/>
    <w:rsid w:val="0068533F"/>
    <w:rsid w:val="0068663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82A86"/>
    <w:rsid w:val="007967BD"/>
    <w:rsid w:val="007A5570"/>
    <w:rsid w:val="007B203A"/>
    <w:rsid w:val="007B3B60"/>
    <w:rsid w:val="007D235B"/>
    <w:rsid w:val="007E190B"/>
    <w:rsid w:val="007E2637"/>
    <w:rsid w:val="007E6BA3"/>
    <w:rsid w:val="007E7467"/>
    <w:rsid w:val="007F6D66"/>
    <w:rsid w:val="008008D7"/>
    <w:rsid w:val="00804D9B"/>
    <w:rsid w:val="008121E4"/>
    <w:rsid w:val="0081606B"/>
    <w:rsid w:val="0081698A"/>
    <w:rsid w:val="0083647B"/>
    <w:rsid w:val="008415C9"/>
    <w:rsid w:val="00846856"/>
    <w:rsid w:val="00856EF9"/>
    <w:rsid w:val="00861781"/>
    <w:rsid w:val="00865BE6"/>
    <w:rsid w:val="00875079"/>
    <w:rsid w:val="0088785F"/>
    <w:rsid w:val="008912D2"/>
    <w:rsid w:val="008A2424"/>
    <w:rsid w:val="008A5982"/>
    <w:rsid w:val="008B6525"/>
    <w:rsid w:val="008C70D8"/>
    <w:rsid w:val="0090107F"/>
    <w:rsid w:val="009132C0"/>
    <w:rsid w:val="00917E0B"/>
    <w:rsid w:val="00922845"/>
    <w:rsid w:val="009504B2"/>
    <w:rsid w:val="009505CC"/>
    <w:rsid w:val="00960C40"/>
    <w:rsid w:val="009C4678"/>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822AA"/>
    <w:rsid w:val="00A8425B"/>
    <w:rsid w:val="00A85B04"/>
    <w:rsid w:val="00A877DB"/>
    <w:rsid w:val="00AB1C57"/>
    <w:rsid w:val="00AB3544"/>
    <w:rsid w:val="00AC26DA"/>
    <w:rsid w:val="00AD6BAA"/>
    <w:rsid w:val="00AE179C"/>
    <w:rsid w:val="00AE4E8E"/>
    <w:rsid w:val="00AF029C"/>
    <w:rsid w:val="00AF1D6D"/>
    <w:rsid w:val="00AF24ED"/>
    <w:rsid w:val="00AF61BC"/>
    <w:rsid w:val="00AF7FFE"/>
    <w:rsid w:val="00B13B23"/>
    <w:rsid w:val="00B16263"/>
    <w:rsid w:val="00B26DF0"/>
    <w:rsid w:val="00B27C13"/>
    <w:rsid w:val="00B37D84"/>
    <w:rsid w:val="00B4094A"/>
    <w:rsid w:val="00B514C6"/>
    <w:rsid w:val="00B51C60"/>
    <w:rsid w:val="00B603D0"/>
    <w:rsid w:val="00B662D2"/>
    <w:rsid w:val="00B678A9"/>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1065"/>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B46FC"/>
    <w:rsid w:val="00DC0E5F"/>
    <w:rsid w:val="00DC5531"/>
    <w:rsid w:val="00DD279D"/>
    <w:rsid w:val="00DD7B9A"/>
    <w:rsid w:val="00DE4335"/>
    <w:rsid w:val="00DE6365"/>
    <w:rsid w:val="00DE6501"/>
    <w:rsid w:val="00DF4B0A"/>
    <w:rsid w:val="00DF7A3B"/>
    <w:rsid w:val="00E06FA4"/>
    <w:rsid w:val="00E23487"/>
    <w:rsid w:val="00E63C14"/>
    <w:rsid w:val="00E65253"/>
    <w:rsid w:val="00E67DFD"/>
    <w:rsid w:val="00E7044E"/>
    <w:rsid w:val="00E735F1"/>
    <w:rsid w:val="00E823F1"/>
    <w:rsid w:val="00E862FE"/>
    <w:rsid w:val="00E90F2B"/>
    <w:rsid w:val="00EA1337"/>
    <w:rsid w:val="00EA5BF3"/>
    <w:rsid w:val="00EB03D8"/>
    <w:rsid w:val="00EB33B6"/>
    <w:rsid w:val="00EC1131"/>
    <w:rsid w:val="00EE371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8C8"/>
  <w15:docId w15:val="{F79872E4-EF6C-4477-8B0A-9953AE4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eFolders\CAMELS%20Group\Business%20Communications\MEMO%20Template\Memo%20Page%20CAMELS%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8462A-66F5-4490-9285-CDFFCA7BBC3E}"/>
</file>

<file path=customXml/itemProps2.xml><?xml version="1.0" encoding="utf-8"?>
<ds:datastoreItem xmlns:ds="http://schemas.openxmlformats.org/officeDocument/2006/customXml" ds:itemID="{F28ACD30-24FB-4CF8-B486-AE93D6F6B965}"/>
</file>

<file path=customXml/itemProps3.xml><?xml version="1.0" encoding="utf-8"?>
<ds:datastoreItem xmlns:ds="http://schemas.openxmlformats.org/officeDocument/2006/customXml" ds:itemID="{21EEFA54-2647-4EA7-A0EB-1E2B9C5D6A0A}"/>
</file>

<file path=docProps/app.xml><?xml version="1.0" encoding="utf-8"?>
<Properties xmlns="http://schemas.openxmlformats.org/officeDocument/2006/extended-properties" xmlns:vt="http://schemas.openxmlformats.org/officeDocument/2006/docPropsVTypes">
  <Template>Memo Page CAMELS LOGO.dotx</Template>
  <TotalTime>1</TotalTime>
  <Pages>1</Pages>
  <Words>137</Words>
  <Characters>886</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CAMELS Group</dc:creator>
  <cp:lastModifiedBy>Edward Schmidt</cp:lastModifiedBy>
  <cp:revision>2</cp:revision>
  <dcterms:created xsi:type="dcterms:W3CDTF">2016-06-21T20:59:00Z</dcterms:created>
  <dcterms:modified xsi:type="dcterms:W3CDTF">2016-06-21T20:59:00Z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