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8A" w:rsidRDefault="00192238" w:rsidP="00192238">
      <w:pPr>
        <w:jc w:val="center"/>
      </w:pPr>
      <w:r>
        <w:rPr>
          <w:noProof/>
        </w:rPr>
        <w:drawing>
          <wp:inline distT="0" distB="0" distL="0" distR="0">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rsidR="00192238" w:rsidRDefault="00192238" w:rsidP="0045120A">
      <w:pPr>
        <w:jc w:val="center"/>
      </w:pPr>
      <w:r>
        <w:rPr>
          <w:noProof/>
        </w:rPr>
        <w:drawing>
          <wp:inline distT="0" distB="0" distL="0" distR="0">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rsidR="00023ADD" w:rsidRDefault="00023ADD" w:rsidP="00023ADD">
      <w:pPr>
        <w:spacing w:after="0" w:line="240" w:lineRule="auto"/>
        <w:jc w:val="center"/>
        <w:rPr>
          <w:b/>
          <w:sz w:val="36"/>
          <w:szCs w:val="36"/>
        </w:rPr>
      </w:pPr>
      <w:r w:rsidRPr="00023ADD">
        <w:rPr>
          <w:b/>
          <w:sz w:val="36"/>
          <w:szCs w:val="36"/>
        </w:rPr>
        <w:t xml:space="preserve">Guidance </w:t>
      </w:r>
    </w:p>
    <w:p w:rsidR="00023ADD" w:rsidRDefault="00015BAC" w:rsidP="00023ADD">
      <w:pPr>
        <w:spacing w:after="0" w:line="240" w:lineRule="auto"/>
        <w:jc w:val="center"/>
        <w:rPr>
          <w:b/>
          <w:sz w:val="36"/>
          <w:szCs w:val="36"/>
        </w:rPr>
      </w:pPr>
      <w:r>
        <w:rPr>
          <w:b/>
          <w:sz w:val="36"/>
          <w:szCs w:val="36"/>
        </w:rPr>
        <w:t>Operational</w:t>
      </w:r>
      <w:bookmarkStart w:id="0" w:name="_GoBack"/>
      <w:bookmarkEnd w:id="0"/>
      <w:r>
        <w:rPr>
          <w:b/>
          <w:sz w:val="36"/>
          <w:szCs w:val="36"/>
        </w:rPr>
        <w:t xml:space="preserve"> Process</w:t>
      </w:r>
      <w:r w:rsidR="00023ADD" w:rsidRPr="00023ADD">
        <w:rPr>
          <w:b/>
          <w:sz w:val="36"/>
          <w:szCs w:val="36"/>
        </w:rPr>
        <w:t xml:space="preserve"> </w:t>
      </w:r>
    </w:p>
    <w:p w:rsidR="00192238" w:rsidRDefault="00534895" w:rsidP="00023ADD">
      <w:pPr>
        <w:spacing w:after="0" w:line="240" w:lineRule="auto"/>
        <w:jc w:val="center"/>
        <w:rPr>
          <w:b/>
          <w:sz w:val="36"/>
          <w:szCs w:val="36"/>
        </w:rPr>
      </w:pPr>
      <w:r>
        <w:rPr>
          <w:b/>
          <w:sz w:val="36"/>
          <w:szCs w:val="36"/>
        </w:rPr>
        <w:t>Purchase of BHC/Bank Stock</w:t>
      </w:r>
    </w:p>
    <w:p w:rsidR="00023ADD" w:rsidRDefault="00023ADD" w:rsidP="00023ADD">
      <w:pPr>
        <w:spacing w:after="0" w:line="240" w:lineRule="auto"/>
        <w:jc w:val="center"/>
        <w:rPr>
          <w:b/>
          <w:sz w:val="36"/>
          <w:szCs w:val="36"/>
        </w:rPr>
      </w:pPr>
    </w:p>
    <w:p w:rsidR="00534895" w:rsidRDefault="00534895" w:rsidP="00023ADD">
      <w:pPr>
        <w:spacing w:after="0" w:line="240" w:lineRule="auto"/>
        <w:rPr>
          <w:sz w:val="24"/>
          <w:szCs w:val="24"/>
        </w:rPr>
      </w:pPr>
      <w:r>
        <w:rPr>
          <w:sz w:val="24"/>
          <w:szCs w:val="24"/>
        </w:rPr>
        <w:t>Stock purchases to be handled by bank stock transfer desk (responsible staff).  Transfer desk to facilitate the BUY/SELL fulfilment side of the SDIRA.</w:t>
      </w:r>
    </w:p>
    <w:p w:rsidR="00534895" w:rsidRDefault="00534895" w:rsidP="00023ADD">
      <w:pPr>
        <w:spacing w:after="0" w:line="240" w:lineRule="auto"/>
        <w:rPr>
          <w:sz w:val="24"/>
          <w:szCs w:val="24"/>
        </w:rPr>
      </w:pPr>
    </w:p>
    <w:p w:rsidR="00534895" w:rsidRDefault="00534895" w:rsidP="00023ADD">
      <w:pPr>
        <w:spacing w:after="0" w:line="240" w:lineRule="auto"/>
        <w:rPr>
          <w:sz w:val="24"/>
          <w:szCs w:val="24"/>
        </w:rPr>
      </w:pPr>
      <w:r>
        <w:rPr>
          <w:sz w:val="24"/>
          <w:szCs w:val="24"/>
        </w:rPr>
        <w:t>Process:</w:t>
      </w:r>
    </w:p>
    <w:p w:rsidR="00534895" w:rsidRDefault="00534895" w:rsidP="00023ADD">
      <w:pPr>
        <w:spacing w:after="0" w:line="240" w:lineRule="auto"/>
        <w:rPr>
          <w:sz w:val="24"/>
          <w:szCs w:val="24"/>
        </w:rPr>
      </w:pPr>
      <w:r>
        <w:rPr>
          <w:sz w:val="24"/>
          <w:szCs w:val="24"/>
        </w:rPr>
        <w:t xml:space="preserve">Bank operations to review on an account by account basis on a to be determined schedule (recommended quarterly) the cash level within each respective SDIRA.  Based on </w:t>
      </w:r>
      <w:r w:rsidR="00A81765">
        <w:rPr>
          <w:sz w:val="24"/>
          <w:szCs w:val="24"/>
        </w:rPr>
        <w:t>availability</w:t>
      </w:r>
      <w:r>
        <w:rPr>
          <w:sz w:val="24"/>
          <w:szCs w:val="24"/>
        </w:rPr>
        <w:t xml:space="preserve"> of cash, operations to inform Transfer Desk of total cash available and individual account levels.  (Bank to pre-determine minimum number of shares required for purchasing (range 1-?) and inform Transfer Desk)</w:t>
      </w:r>
    </w:p>
    <w:p w:rsidR="00534895" w:rsidRDefault="00534895" w:rsidP="00023ADD">
      <w:pPr>
        <w:spacing w:after="0" w:line="240" w:lineRule="auto"/>
        <w:rPr>
          <w:sz w:val="24"/>
          <w:szCs w:val="24"/>
        </w:rPr>
      </w:pPr>
    </w:p>
    <w:p w:rsidR="00534895" w:rsidRDefault="00534895" w:rsidP="00023ADD">
      <w:pPr>
        <w:spacing w:after="0" w:line="240" w:lineRule="auto"/>
        <w:rPr>
          <w:sz w:val="24"/>
          <w:szCs w:val="24"/>
        </w:rPr>
      </w:pPr>
      <w:r>
        <w:rPr>
          <w:sz w:val="24"/>
          <w:szCs w:val="24"/>
        </w:rPr>
        <w:t>Based on availability of shares Transfer Agent will on an account by account basis inform operations of cash withdrawals needed to effect purchases.  All purchases to be made in ‘whole shares only’ no fractional shares.  Remaining cash to remain in the account holders cash savings (tied to SDIRA).  Transfer agent to provide operations ‘purchase settlement’.  Transfer agent to provide account holder printed ledger statement noting shares purchased with form letter.</w:t>
      </w:r>
    </w:p>
    <w:p w:rsidR="00534895" w:rsidRDefault="00534895" w:rsidP="00023ADD">
      <w:pPr>
        <w:spacing w:after="0" w:line="240" w:lineRule="auto"/>
        <w:rPr>
          <w:sz w:val="24"/>
          <w:szCs w:val="24"/>
        </w:rPr>
      </w:pPr>
    </w:p>
    <w:p w:rsidR="00A81765" w:rsidRDefault="00534895" w:rsidP="00023ADD">
      <w:pPr>
        <w:spacing w:after="0" w:line="240" w:lineRule="auto"/>
        <w:rPr>
          <w:sz w:val="24"/>
          <w:szCs w:val="24"/>
        </w:rPr>
      </w:pPr>
      <w:r>
        <w:rPr>
          <w:sz w:val="24"/>
          <w:szCs w:val="24"/>
        </w:rPr>
        <w:t xml:space="preserve">Dependent on </w:t>
      </w:r>
      <w:r w:rsidR="00A81765">
        <w:rPr>
          <w:sz w:val="24"/>
          <w:szCs w:val="24"/>
        </w:rPr>
        <w:t>program structure account holder may elect to have all available cash continually presented for purchase of shares.  Another election is that on sufficient cash balance account holder would be contacted for authorization of purchasing of additional shares.</w:t>
      </w:r>
    </w:p>
    <w:p w:rsidR="00A81765" w:rsidRDefault="00A81765" w:rsidP="00023ADD">
      <w:pPr>
        <w:spacing w:after="0" w:line="240" w:lineRule="auto"/>
        <w:rPr>
          <w:sz w:val="24"/>
          <w:szCs w:val="24"/>
        </w:rPr>
      </w:pPr>
    </w:p>
    <w:p w:rsidR="00C21065" w:rsidRDefault="00A81765" w:rsidP="00023ADD">
      <w:pPr>
        <w:spacing w:after="0" w:line="240" w:lineRule="auto"/>
        <w:rPr>
          <w:sz w:val="24"/>
          <w:szCs w:val="24"/>
        </w:rPr>
      </w:pPr>
      <w:r>
        <w:rPr>
          <w:sz w:val="24"/>
          <w:szCs w:val="24"/>
        </w:rPr>
        <w:t>Transfer Agent will direct shares for titling as SDIRA purchase held by bank. (Certificate or book entry)</w:t>
      </w:r>
      <w:r w:rsidR="00C21065">
        <w:rPr>
          <w:sz w:val="24"/>
          <w:szCs w:val="24"/>
        </w:rPr>
        <w:t xml:space="preserve"> </w:t>
      </w:r>
    </w:p>
    <w:p w:rsidR="00A81765" w:rsidRDefault="00A81765" w:rsidP="00023ADD">
      <w:pPr>
        <w:spacing w:after="0" w:line="240" w:lineRule="auto"/>
        <w:rPr>
          <w:sz w:val="24"/>
          <w:szCs w:val="24"/>
        </w:rPr>
      </w:pPr>
    </w:p>
    <w:p w:rsidR="00A81765" w:rsidRPr="00A81765" w:rsidRDefault="00A81765" w:rsidP="00023ADD">
      <w:pPr>
        <w:spacing w:after="0" w:line="240" w:lineRule="auto"/>
        <w:rPr>
          <w:b/>
          <w:sz w:val="24"/>
          <w:szCs w:val="24"/>
        </w:rPr>
      </w:pPr>
      <w:r w:rsidRPr="00A81765">
        <w:rPr>
          <w:b/>
          <w:sz w:val="24"/>
          <w:szCs w:val="24"/>
        </w:rPr>
        <w:t>Availability of shares:</w:t>
      </w:r>
    </w:p>
    <w:p w:rsidR="00A81765" w:rsidRPr="00023ADD" w:rsidRDefault="00A81765" w:rsidP="00023ADD">
      <w:pPr>
        <w:spacing w:after="0" w:line="240" w:lineRule="auto"/>
        <w:rPr>
          <w:sz w:val="24"/>
          <w:szCs w:val="24"/>
        </w:rPr>
      </w:pPr>
      <w:r>
        <w:rPr>
          <w:sz w:val="24"/>
          <w:szCs w:val="24"/>
        </w:rPr>
        <w:t>Purchasing of shares for the SDIRA program is dependent on availability of shares.  Being privately held share availability is often intermittent and is dependent on a wide range of factors.  If limited shares are available to support purchases, then the transfer agent will need to proportionately distribute shares.   If no shares are available, then purchases would be deferred until such time that shares do become available. (Management direction needed to manage sells in low availability scenarios.)</w:t>
      </w:r>
    </w:p>
    <w:sectPr w:rsidR="00A81765" w:rsidRPr="00023ADD" w:rsidSect="001922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78"/>
    <w:rsid w:val="00000B39"/>
    <w:rsid w:val="000061EF"/>
    <w:rsid w:val="00007397"/>
    <w:rsid w:val="0001102D"/>
    <w:rsid w:val="00011500"/>
    <w:rsid w:val="00015BAC"/>
    <w:rsid w:val="00022FE9"/>
    <w:rsid w:val="00023ADD"/>
    <w:rsid w:val="00031FBF"/>
    <w:rsid w:val="00033644"/>
    <w:rsid w:val="0004189E"/>
    <w:rsid w:val="00042FA2"/>
    <w:rsid w:val="00043542"/>
    <w:rsid w:val="000471EA"/>
    <w:rsid w:val="000502D3"/>
    <w:rsid w:val="00053172"/>
    <w:rsid w:val="00053709"/>
    <w:rsid w:val="00056F08"/>
    <w:rsid w:val="0006350A"/>
    <w:rsid w:val="00064154"/>
    <w:rsid w:val="000705D8"/>
    <w:rsid w:val="00075EC7"/>
    <w:rsid w:val="00081D10"/>
    <w:rsid w:val="000940FD"/>
    <w:rsid w:val="00095A97"/>
    <w:rsid w:val="000B7AA1"/>
    <w:rsid w:val="000C7096"/>
    <w:rsid w:val="000D010F"/>
    <w:rsid w:val="000D0831"/>
    <w:rsid w:val="000D2B25"/>
    <w:rsid w:val="000E78E3"/>
    <w:rsid w:val="00112070"/>
    <w:rsid w:val="00124D49"/>
    <w:rsid w:val="00125300"/>
    <w:rsid w:val="00125C43"/>
    <w:rsid w:val="00144DEF"/>
    <w:rsid w:val="0014654B"/>
    <w:rsid w:val="00147B22"/>
    <w:rsid w:val="00181947"/>
    <w:rsid w:val="00182D5E"/>
    <w:rsid w:val="00191CA9"/>
    <w:rsid w:val="00192238"/>
    <w:rsid w:val="0019538A"/>
    <w:rsid w:val="001964C6"/>
    <w:rsid w:val="00196511"/>
    <w:rsid w:val="001A6209"/>
    <w:rsid w:val="001B3D00"/>
    <w:rsid w:val="001C7E92"/>
    <w:rsid w:val="001D0518"/>
    <w:rsid w:val="001E1C51"/>
    <w:rsid w:val="001E240B"/>
    <w:rsid w:val="0020152F"/>
    <w:rsid w:val="00202146"/>
    <w:rsid w:val="002026B9"/>
    <w:rsid w:val="0020787D"/>
    <w:rsid w:val="00210BF3"/>
    <w:rsid w:val="002237A5"/>
    <w:rsid w:val="00224AE2"/>
    <w:rsid w:val="00232F90"/>
    <w:rsid w:val="00237A60"/>
    <w:rsid w:val="00243C87"/>
    <w:rsid w:val="0025232A"/>
    <w:rsid w:val="002550E8"/>
    <w:rsid w:val="00267166"/>
    <w:rsid w:val="0027328B"/>
    <w:rsid w:val="0028258F"/>
    <w:rsid w:val="00295CE4"/>
    <w:rsid w:val="002A6F17"/>
    <w:rsid w:val="002C1445"/>
    <w:rsid w:val="002C7400"/>
    <w:rsid w:val="002C75DC"/>
    <w:rsid w:val="002C79CF"/>
    <w:rsid w:val="002D7E35"/>
    <w:rsid w:val="002E2B6C"/>
    <w:rsid w:val="002E70CF"/>
    <w:rsid w:val="0030118C"/>
    <w:rsid w:val="003109E3"/>
    <w:rsid w:val="00323708"/>
    <w:rsid w:val="00324F7B"/>
    <w:rsid w:val="00337086"/>
    <w:rsid w:val="003418F4"/>
    <w:rsid w:val="00342974"/>
    <w:rsid w:val="00352CFA"/>
    <w:rsid w:val="00364F9A"/>
    <w:rsid w:val="00374591"/>
    <w:rsid w:val="00380B17"/>
    <w:rsid w:val="00392591"/>
    <w:rsid w:val="00392ABD"/>
    <w:rsid w:val="003B2BBB"/>
    <w:rsid w:val="003B4A51"/>
    <w:rsid w:val="003C13BF"/>
    <w:rsid w:val="003C5ED3"/>
    <w:rsid w:val="003D0DDD"/>
    <w:rsid w:val="003D2E1C"/>
    <w:rsid w:val="003D73D9"/>
    <w:rsid w:val="003F004E"/>
    <w:rsid w:val="003F0487"/>
    <w:rsid w:val="003F6B21"/>
    <w:rsid w:val="00413FC4"/>
    <w:rsid w:val="0042182D"/>
    <w:rsid w:val="00423E5B"/>
    <w:rsid w:val="00424129"/>
    <w:rsid w:val="004320A9"/>
    <w:rsid w:val="0043631E"/>
    <w:rsid w:val="00446503"/>
    <w:rsid w:val="0045120A"/>
    <w:rsid w:val="0045316F"/>
    <w:rsid w:val="004562EC"/>
    <w:rsid w:val="004638AE"/>
    <w:rsid w:val="0046509F"/>
    <w:rsid w:val="004A1EAF"/>
    <w:rsid w:val="004A6A06"/>
    <w:rsid w:val="004D127B"/>
    <w:rsid w:val="004D2906"/>
    <w:rsid w:val="004D3E0F"/>
    <w:rsid w:val="00510667"/>
    <w:rsid w:val="00515577"/>
    <w:rsid w:val="005174FA"/>
    <w:rsid w:val="00517D9D"/>
    <w:rsid w:val="00534895"/>
    <w:rsid w:val="00555BD8"/>
    <w:rsid w:val="0056750E"/>
    <w:rsid w:val="00570346"/>
    <w:rsid w:val="00571F70"/>
    <w:rsid w:val="00575B7E"/>
    <w:rsid w:val="00581581"/>
    <w:rsid w:val="00583982"/>
    <w:rsid w:val="005857C5"/>
    <w:rsid w:val="005953D9"/>
    <w:rsid w:val="0059540D"/>
    <w:rsid w:val="005A5423"/>
    <w:rsid w:val="005A604D"/>
    <w:rsid w:val="005C0936"/>
    <w:rsid w:val="005D7A82"/>
    <w:rsid w:val="005D7B7F"/>
    <w:rsid w:val="005E238B"/>
    <w:rsid w:val="005E5562"/>
    <w:rsid w:val="00615C11"/>
    <w:rsid w:val="00625702"/>
    <w:rsid w:val="00632C1B"/>
    <w:rsid w:val="006414C5"/>
    <w:rsid w:val="0064657C"/>
    <w:rsid w:val="00657863"/>
    <w:rsid w:val="00667E69"/>
    <w:rsid w:val="00676FFA"/>
    <w:rsid w:val="00681D76"/>
    <w:rsid w:val="0068533F"/>
    <w:rsid w:val="00686631"/>
    <w:rsid w:val="006A6081"/>
    <w:rsid w:val="006A67D6"/>
    <w:rsid w:val="006B1003"/>
    <w:rsid w:val="006B7587"/>
    <w:rsid w:val="006D415C"/>
    <w:rsid w:val="006D6140"/>
    <w:rsid w:val="006E225F"/>
    <w:rsid w:val="006F16D4"/>
    <w:rsid w:val="006F2666"/>
    <w:rsid w:val="0071154E"/>
    <w:rsid w:val="007236D7"/>
    <w:rsid w:val="00723F78"/>
    <w:rsid w:val="00725D69"/>
    <w:rsid w:val="00726FDE"/>
    <w:rsid w:val="007277B2"/>
    <w:rsid w:val="00727F4B"/>
    <w:rsid w:val="007518C4"/>
    <w:rsid w:val="00751E24"/>
    <w:rsid w:val="00782A86"/>
    <w:rsid w:val="007967BD"/>
    <w:rsid w:val="007A5570"/>
    <w:rsid w:val="007B203A"/>
    <w:rsid w:val="007B3B60"/>
    <w:rsid w:val="007D235B"/>
    <w:rsid w:val="007E190B"/>
    <w:rsid w:val="007E2637"/>
    <w:rsid w:val="007E6BA3"/>
    <w:rsid w:val="007E7467"/>
    <w:rsid w:val="007F6D66"/>
    <w:rsid w:val="008008D7"/>
    <w:rsid w:val="00804D9B"/>
    <w:rsid w:val="008121E4"/>
    <w:rsid w:val="0081606B"/>
    <w:rsid w:val="0081698A"/>
    <w:rsid w:val="0083647B"/>
    <w:rsid w:val="008415C9"/>
    <w:rsid w:val="00846856"/>
    <w:rsid w:val="00856EF9"/>
    <w:rsid w:val="00861781"/>
    <w:rsid w:val="00865BE6"/>
    <w:rsid w:val="00875079"/>
    <w:rsid w:val="0088785F"/>
    <w:rsid w:val="008912D2"/>
    <w:rsid w:val="008A2424"/>
    <w:rsid w:val="008A5982"/>
    <w:rsid w:val="008B6525"/>
    <w:rsid w:val="008C70D8"/>
    <w:rsid w:val="0090107F"/>
    <w:rsid w:val="009132C0"/>
    <w:rsid w:val="00917E0B"/>
    <w:rsid w:val="00922845"/>
    <w:rsid w:val="009504B2"/>
    <w:rsid w:val="009505CC"/>
    <w:rsid w:val="00960C40"/>
    <w:rsid w:val="009C4678"/>
    <w:rsid w:val="009D4B31"/>
    <w:rsid w:val="009E524F"/>
    <w:rsid w:val="009E73E3"/>
    <w:rsid w:val="009F57B0"/>
    <w:rsid w:val="009F64CA"/>
    <w:rsid w:val="00A03369"/>
    <w:rsid w:val="00A10C85"/>
    <w:rsid w:val="00A2489A"/>
    <w:rsid w:val="00A26BE6"/>
    <w:rsid w:val="00A4717A"/>
    <w:rsid w:val="00A50482"/>
    <w:rsid w:val="00A6077F"/>
    <w:rsid w:val="00A62558"/>
    <w:rsid w:val="00A649F4"/>
    <w:rsid w:val="00A65A7C"/>
    <w:rsid w:val="00A81765"/>
    <w:rsid w:val="00A822AA"/>
    <w:rsid w:val="00A8425B"/>
    <w:rsid w:val="00A85B04"/>
    <w:rsid w:val="00A877DB"/>
    <w:rsid w:val="00AB1C57"/>
    <w:rsid w:val="00AB3544"/>
    <w:rsid w:val="00AC26DA"/>
    <w:rsid w:val="00AD6BAA"/>
    <w:rsid w:val="00AE179C"/>
    <w:rsid w:val="00AE4E8E"/>
    <w:rsid w:val="00AF029C"/>
    <w:rsid w:val="00AF1D6D"/>
    <w:rsid w:val="00AF24ED"/>
    <w:rsid w:val="00AF61BC"/>
    <w:rsid w:val="00AF7FFE"/>
    <w:rsid w:val="00B13B23"/>
    <w:rsid w:val="00B16263"/>
    <w:rsid w:val="00B26DF0"/>
    <w:rsid w:val="00B27C13"/>
    <w:rsid w:val="00B37D84"/>
    <w:rsid w:val="00B4094A"/>
    <w:rsid w:val="00B514C6"/>
    <w:rsid w:val="00B51C60"/>
    <w:rsid w:val="00B603D0"/>
    <w:rsid w:val="00B662D2"/>
    <w:rsid w:val="00B678A9"/>
    <w:rsid w:val="00B80E48"/>
    <w:rsid w:val="00B83128"/>
    <w:rsid w:val="00B90821"/>
    <w:rsid w:val="00B90F0B"/>
    <w:rsid w:val="00B935B6"/>
    <w:rsid w:val="00B96023"/>
    <w:rsid w:val="00BA03BA"/>
    <w:rsid w:val="00BA3085"/>
    <w:rsid w:val="00BB1276"/>
    <w:rsid w:val="00BB6984"/>
    <w:rsid w:val="00BE472A"/>
    <w:rsid w:val="00BE52E9"/>
    <w:rsid w:val="00C036ED"/>
    <w:rsid w:val="00C07793"/>
    <w:rsid w:val="00C108FB"/>
    <w:rsid w:val="00C15511"/>
    <w:rsid w:val="00C15D0A"/>
    <w:rsid w:val="00C17156"/>
    <w:rsid w:val="00C20450"/>
    <w:rsid w:val="00C21065"/>
    <w:rsid w:val="00C25583"/>
    <w:rsid w:val="00C330D6"/>
    <w:rsid w:val="00C4525F"/>
    <w:rsid w:val="00C45BBB"/>
    <w:rsid w:val="00C54B3D"/>
    <w:rsid w:val="00C54CB8"/>
    <w:rsid w:val="00C6746A"/>
    <w:rsid w:val="00C85079"/>
    <w:rsid w:val="00C86D61"/>
    <w:rsid w:val="00C9169A"/>
    <w:rsid w:val="00CA3A51"/>
    <w:rsid w:val="00CA4BA6"/>
    <w:rsid w:val="00CB5A96"/>
    <w:rsid w:val="00CC3477"/>
    <w:rsid w:val="00CC5AE1"/>
    <w:rsid w:val="00CD758A"/>
    <w:rsid w:val="00CE0088"/>
    <w:rsid w:val="00CE6BD4"/>
    <w:rsid w:val="00CF6F8E"/>
    <w:rsid w:val="00D05D3F"/>
    <w:rsid w:val="00D11927"/>
    <w:rsid w:val="00D17296"/>
    <w:rsid w:val="00D1744C"/>
    <w:rsid w:val="00D177C4"/>
    <w:rsid w:val="00D222A1"/>
    <w:rsid w:val="00D37761"/>
    <w:rsid w:val="00D428DE"/>
    <w:rsid w:val="00D5120E"/>
    <w:rsid w:val="00D53ABE"/>
    <w:rsid w:val="00D62495"/>
    <w:rsid w:val="00D8097C"/>
    <w:rsid w:val="00DA05B4"/>
    <w:rsid w:val="00DB46FC"/>
    <w:rsid w:val="00DC0E5F"/>
    <w:rsid w:val="00DC5531"/>
    <w:rsid w:val="00DD279D"/>
    <w:rsid w:val="00DD7B9A"/>
    <w:rsid w:val="00DE4335"/>
    <w:rsid w:val="00DE6365"/>
    <w:rsid w:val="00DE6501"/>
    <w:rsid w:val="00DF4B0A"/>
    <w:rsid w:val="00DF7A3B"/>
    <w:rsid w:val="00E06FA4"/>
    <w:rsid w:val="00E23487"/>
    <w:rsid w:val="00E63C14"/>
    <w:rsid w:val="00E65253"/>
    <w:rsid w:val="00E67DFD"/>
    <w:rsid w:val="00E7044E"/>
    <w:rsid w:val="00E735F1"/>
    <w:rsid w:val="00E823F1"/>
    <w:rsid w:val="00E862FE"/>
    <w:rsid w:val="00E90F2B"/>
    <w:rsid w:val="00EA1337"/>
    <w:rsid w:val="00EA5BF3"/>
    <w:rsid w:val="00EB03D8"/>
    <w:rsid w:val="00EB33B6"/>
    <w:rsid w:val="00EC1131"/>
    <w:rsid w:val="00EE371D"/>
    <w:rsid w:val="00F007D3"/>
    <w:rsid w:val="00F05406"/>
    <w:rsid w:val="00F17919"/>
    <w:rsid w:val="00F404C4"/>
    <w:rsid w:val="00F4221B"/>
    <w:rsid w:val="00F522F8"/>
    <w:rsid w:val="00F67042"/>
    <w:rsid w:val="00F7103B"/>
    <w:rsid w:val="00F72D5E"/>
    <w:rsid w:val="00F75378"/>
    <w:rsid w:val="00F7652E"/>
    <w:rsid w:val="00F82509"/>
    <w:rsid w:val="00F82EA4"/>
    <w:rsid w:val="00F8456B"/>
    <w:rsid w:val="00F84F82"/>
    <w:rsid w:val="00F8654C"/>
    <w:rsid w:val="00F90330"/>
    <w:rsid w:val="00F92DA7"/>
    <w:rsid w:val="00FB47EA"/>
    <w:rsid w:val="00FB50B4"/>
    <w:rsid w:val="00FB7E3F"/>
    <w:rsid w:val="00FC0DC8"/>
    <w:rsid w:val="00FC1CF7"/>
    <w:rsid w:val="00FC607A"/>
    <w:rsid w:val="00FD7CEF"/>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34F2"/>
  <w15:docId w15:val="{F79872E4-EF6C-4477-8B0A-9953AE43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eFolders\CAMELS%20Group\Business%20Communications\MEMO%20Template\Memo%20Page%20CAMELS%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5d1a9c04606e7d40bce733a793fe65b2">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ea7b14f088b8ce3276073d4412bd7ab5"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A8173-FCBE-4E00-9075-919E39669FB3}"/>
</file>

<file path=customXml/itemProps2.xml><?xml version="1.0" encoding="utf-8"?>
<ds:datastoreItem xmlns:ds="http://schemas.openxmlformats.org/officeDocument/2006/customXml" ds:itemID="{FFC33ABC-B72C-42E2-866E-505FF6D0C916}"/>
</file>

<file path=customXml/itemProps3.xml><?xml version="1.0" encoding="utf-8"?>
<ds:datastoreItem xmlns:ds="http://schemas.openxmlformats.org/officeDocument/2006/customXml" ds:itemID="{668EC884-5F9D-44BC-92A7-6A5B78468CA3}"/>
</file>

<file path=docProps/app.xml><?xml version="1.0" encoding="utf-8"?>
<Properties xmlns="http://schemas.openxmlformats.org/officeDocument/2006/extended-properties" xmlns:vt="http://schemas.openxmlformats.org/officeDocument/2006/docPropsVTypes">
  <Template>Memo Page CAMELS LOGO.dotx</Template>
  <TotalTime>21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CAMELS Group</dc:creator>
  <cp:lastModifiedBy>Edward Schmidt</cp:lastModifiedBy>
  <cp:revision>4</cp:revision>
  <dcterms:created xsi:type="dcterms:W3CDTF">2016-06-21T21:03:00Z</dcterms:created>
  <dcterms:modified xsi:type="dcterms:W3CDTF">2016-06-21T21:47:00Z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